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20" w:rsidRPr="006F44BF" w:rsidRDefault="00B35520" w:rsidP="00B35520">
      <w:pPr>
        <w:pStyle w:val="a3"/>
        <w:jc w:val="center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ТОМСКАЯ ОБЛАСТЬ</w:t>
      </w:r>
    </w:p>
    <w:p w:rsidR="00B35520" w:rsidRPr="006F44BF" w:rsidRDefault="00B35520" w:rsidP="00B35520">
      <w:pPr>
        <w:pStyle w:val="a3"/>
        <w:jc w:val="center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КАРГАСОКСКИЙ РАЙОН</w:t>
      </w:r>
    </w:p>
    <w:p w:rsidR="00B35520" w:rsidRPr="006F44BF" w:rsidRDefault="00B35520" w:rsidP="00B35520">
      <w:pPr>
        <w:pStyle w:val="a3"/>
        <w:jc w:val="center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МКУ «АДМИНИСТРАЦИЯ СОСНОВСКОГО СЕЛЬСКОГО ПОСЕЛЕНИЯ»</w:t>
      </w: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B35520" w:rsidRPr="006F44BF" w:rsidTr="00123793">
        <w:tc>
          <w:tcPr>
            <w:tcW w:w="9464" w:type="dxa"/>
            <w:gridSpan w:val="3"/>
          </w:tcPr>
          <w:p w:rsidR="00B35520" w:rsidRPr="006F44BF" w:rsidRDefault="00B35520" w:rsidP="00123793">
            <w:pPr>
              <w:pStyle w:val="5"/>
              <w:rPr>
                <w:rFonts w:ascii="Arial" w:hAnsi="Arial" w:cs="Arial"/>
                <w:b w:val="0"/>
                <w:color w:val="1D1B11" w:themeColor="background2" w:themeShade="1A"/>
                <w:sz w:val="24"/>
              </w:rPr>
            </w:pPr>
            <w:r w:rsidRPr="006F44BF">
              <w:rPr>
                <w:rFonts w:ascii="Arial" w:hAnsi="Arial" w:cs="Arial"/>
                <w:b w:val="0"/>
                <w:color w:val="1D1B11" w:themeColor="background2" w:themeShade="1A"/>
                <w:sz w:val="24"/>
              </w:rPr>
              <w:t>ПОСТАНОВЛЕНИЕ</w:t>
            </w:r>
          </w:p>
          <w:p w:rsidR="00B35520" w:rsidRPr="006F44BF" w:rsidRDefault="00B35520" w:rsidP="00123793">
            <w:pPr>
              <w:jc w:val="center"/>
              <w:rPr>
                <w:rFonts w:ascii="Arial" w:eastAsiaTheme="minorHAnsi" w:hAnsi="Arial" w:cs="Arial"/>
                <w:color w:val="1D1B11" w:themeColor="background2" w:themeShade="1A"/>
                <w:sz w:val="24"/>
                <w:szCs w:val="24"/>
              </w:rPr>
            </w:pPr>
          </w:p>
        </w:tc>
      </w:tr>
      <w:tr w:rsidR="00B35520" w:rsidRPr="006F44BF" w:rsidTr="00123793">
        <w:tc>
          <w:tcPr>
            <w:tcW w:w="1908" w:type="dxa"/>
          </w:tcPr>
          <w:p w:rsidR="00B35520" w:rsidRPr="006F44BF" w:rsidRDefault="00B35520" w:rsidP="00123793">
            <w:pPr>
              <w:spacing w:after="0" w:line="240" w:lineRule="auto"/>
              <w:rPr>
                <w:rFonts w:ascii="Arial" w:eastAsiaTheme="minorHAnsi" w:hAnsi="Arial" w:cs="Arial"/>
                <w:color w:val="1D1B11" w:themeColor="background2" w:themeShade="1A"/>
                <w:sz w:val="24"/>
                <w:szCs w:val="24"/>
              </w:rPr>
            </w:pPr>
            <w:r w:rsidRPr="006F44BF">
              <w:rPr>
                <w:rFonts w:ascii="Arial" w:eastAsiaTheme="minorHAnsi" w:hAnsi="Arial" w:cs="Arial"/>
                <w:color w:val="1D1B11" w:themeColor="background2" w:themeShade="1A"/>
                <w:sz w:val="24"/>
                <w:szCs w:val="24"/>
              </w:rPr>
              <w:t xml:space="preserve">  18.12.2018</w:t>
            </w:r>
          </w:p>
          <w:p w:rsidR="00B35520" w:rsidRPr="006F44BF" w:rsidRDefault="00B35520" w:rsidP="00123793">
            <w:pPr>
              <w:spacing w:after="0" w:line="240" w:lineRule="auto"/>
              <w:rPr>
                <w:rFonts w:ascii="Arial" w:eastAsiaTheme="minorHAnsi" w:hAnsi="Arial" w:cs="Arial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80" w:type="dxa"/>
          </w:tcPr>
          <w:p w:rsidR="00B35520" w:rsidRPr="006F44BF" w:rsidRDefault="00B35520" w:rsidP="00123793">
            <w:pPr>
              <w:spacing w:after="0" w:line="240" w:lineRule="auto"/>
              <w:jc w:val="right"/>
              <w:rPr>
                <w:rFonts w:ascii="Arial" w:eastAsiaTheme="minorHAnsi" w:hAnsi="Arial" w:cs="Arial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76" w:type="dxa"/>
          </w:tcPr>
          <w:p w:rsidR="00B35520" w:rsidRPr="006F44BF" w:rsidRDefault="00B35520" w:rsidP="00123793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1D1B11" w:themeColor="background2" w:themeShade="1A"/>
                <w:sz w:val="24"/>
                <w:szCs w:val="24"/>
              </w:rPr>
            </w:pPr>
            <w:r w:rsidRPr="006F44BF">
              <w:rPr>
                <w:rFonts w:ascii="Arial" w:eastAsiaTheme="minorHAnsi" w:hAnsi="Arial" w:cs="Arial"/>
                <w:b/>
                <w:color w:val="1D1B11" w:themeColor="background2" w:themeShade="1A"/>
                <w:sz w:val="24"/>
                <w:szCs w:val="24"/>
              </w:rPr>
              <w:t xml:space="preserve">           </w:t>
            </w:r>
            <w:r w:rsidRPr="006F44BF">
              <w:rPr>
                <w:rFonts w:ascii="Arial" w:eastAsiaTheme="minorHAnsi" w:hAnsi="Arial" w:cs="Arial"/>
                <w:color w:val="1D1B11" w:themeColor="background2" w:themeShade="1A"/>
                <w:sz w:val="24"/>
                <w:szCs w:val="24"/>
              </w:rPr>
              <w:t>№ 54</w:t>
            </w:r>
          </w:p>
        </w:tc>
      </w:tr>
      <w:tr w:rsidR="00B35520" w:rsidRPr="006F44BF" w:rsidTr="00123793">
        <w:tc>
          <w:tcPr>
            <w:tcW w:w="7488" w:type="dxa"/>
            <w:gridSpan w:val="2"/>
          </w:tcPr>
          <w:p w:rsidR="00B35520" w:rsidRPr="006F44BF" w:rsidRDefault="00B35520" w:rsidP="00123793">
            <w:pPr>
              <w:spacing w:after="0" w:line="240" w:lineRule="auto"/>
              <w:rPr>
                <w:rFonts w:ascii="Arial" w:eastAsiaTheme="minorHAnsi" w:hAnsi="Arial" w:cs="Arial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6F44BF">
              <w:rPr>
                <w:rFonts w:ascii="Arial" w:eastAsiaTheme="minorHAnsi" w:hAnsi="Arial" w:cs="Arial"/>
                <w:color w:val="1D1B11" w:themeColor="background2" w:themeShade="1A"/>
                <w:sz w:val="24"/>
                <w:szCs w:val="24"/>
              </w:rPr>
              <w:t>с</w:t>
            </w:r>
            <w:proofErr w:type="gramEnd"/>
            <w:r w:rsidRPr="006F44BF">
              <w:rPr>
                <w:rFonts w:ascii="Arial" w:eastAsiaTheme="minorHAnsi" w:hAnsi="Arial" w:cs="Arial"/>
                <w:color w:val="1D1B11" w:themeColor="background2" w:themeShade="1A"/>
                <w:sz w:val="24"/>
                <w:szCs w:val="24"/>
              </w:rPr>
              <w:t>. Сосновка</w:t>
            </w:r>
          </w:p>
        </w:tc>
        <w:tc>
          <w:tcPr>
            <w:tcW w:w="1976" w:type="dxa"/>
          </w:tcPr>
          <w:p w:rsidR="00B35520" w:rsidRPr="006F44BF" w:rsidRDefault="00B35520" w:rsidP="00123793">
            <w:pPr>
              <w:spacing w:after="0" w:line="240" w:lineRule="auto"/>
              <w:rPr>
                <w:rFonts w:ascii="Arial" w:eastAsiaTheme="minorHAnsi" w:hAnsi="Arial" w:cs="Arial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B35520" w:rsidRPr="006F44BF" w:rsidRDefault="00B35520" w:rsidP="00B35520">
      <w:pPr>
        <w:spacing w:after="0" w:line="240" w:lineRule="auto"/>
        <w:jc w:val="center"/>
        <w:rPr>
          <w:rFonts w:ascii="Arial" w:hAnsi="Arial" w:cs="Arial"/>
          <w:color w:val="1D1B11" w:themeColor="background2" w:themeShade="1A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B35520" w:rsidRPr="006F44BF" w:rsidTr="00123793">
        <w:tc>
          <w:tcPr>
            <w:tcW w:w="4786" w:type="dxa"/>
          </w:tcPr>
          <w:p w:rsidR="00B35520" w:rsidRPr="006F44BF" w:rsidRDefault="00B35520" w:rsidP="00123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</w:pPr>
            <w:bookmarkStart w:id="0" w:name="OLE_LINK1"/>
            <w:bookmarkStart w:id="1" w:name="OLE_LINK2"/>
            <w:r w:rsidRPr="006F44BF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О внесении изменений в постановление Администрации Сосновского сельского поселения  от 20.04.2017 № 27 «Об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«Сосновское сельское поселение»</w:t>
            </w:r>
            <w:bookmarkEnd w:id="0"/>
            <w:bookmarkEnd w:id="1"/>
          </w:p>
          <w:p w:rsidR="00B35520" w:rsidRPr="006F44BF" w:rsidRDefault="00B35520" w:rsidP="00123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786" w:type="dxa"/>
          </w:tcPr>
          <w:p w:rsidR="00B35520" w:rsidRPr="006F44BF" w:rsidRDefault="00B35520" w:rsidP="00123793">
            <w:pPr>
              <w:spacing w:after="0" w:line="240" w:lineRule="auto"/>
              <w:rPr>
                <w:rFonts w:ascii="Arial" w:eastAsiaTheme="minorHAnsi" w:hAnsi="Arial" w:cs="Arial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B35520" w:rsidRPr="006F44BF" w:rsidRDefault="00B35520" w:rsidP="00B35520">
      <w:pPr>
        <w:ind w:firstLine="426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6F44BF">
        <w:rPr>
          <w:rFonts w:ascii="Arial" w:hAnsi="Arial" w:cs="Arial"/>
          <w:color w:val="1D1B11" w:themeColor="background2" w:themeShade="1A"/>
          <w:sz w:val="24"/>
          <w:szCs w:val="24"/>
        </w:rPr>
        <w:t>В целях приведе</w:t>
      </w:r>
      <w:r w:rsidR="0047686C" w:rsidRPr="006F44BF">
        <w:rPr>
          <w:rFonts w:ascii="Arial" w:hAnsi="Arial" w:cs="Arial"/>
          <w:color w:val="1D1B11" w:themeColor="background2" w:themeShade="1A"/>
          <w:sz w:val="24"/>
          <w:szCs w:val="24"/>
        </w:rPr>
        <w:t>ния в соответствие с федеральным</w:t>
      </w:r>
      <w:r w:rsidRPr="006F44BF">
        <w:rPr>
          <w:rFonts w:ascii="Arial" w:hAnsi="Arial" w:cs="Arial"/>
          <w:color w:val="1D1B11" w:themeColor="background2" w:themeShade="1A"/>
          <w:sz w:val="24"/>
          <w:szCs w:val="24"/>
        </w:rPr>
        <w:t xml:space="preserve"> законодательством,</w:t>
      </w:r>
    </w:p>
    <w:p w:rsidR="00B35520" w:rsidRPr="006F44BF" w:rsidRDefault="00B35520" w:rsidP="00B35520">
      <w:pPr>
        <w:pStyle w:val="ConsPlusNormal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6F44BF">
        <w:rPr>
          <w:rFonts w:ascii="Arial" w:eastAsia="Calibri" w:hAnsi="Arial" w:cs="Arial"/>
          <w:color w:val="1D1B11" w:themeColor="background2" w:themeShade="1A"/>
          <w:sz w:val="24"/>
          <w:szCs w:val="24"/>
          <w:lang w:eastAsia="en-US"/>
        </w:rPr>
        <w:t xml:space="preserve">      </w:t>
      </w:r>
      <w:r w:rsidR="0047686C" w:rsidRPr="006F44BF">
        <w:rPr>
          <w:rFonts w:ascii="Arial" w:eastAsia="Calibri" w:hAnsi="Arial" w:cs="Arial"/>
          <w:color w:val="1D1B11" w:themeColor="background2" w:themeShade="1A"/>
          <w:sz w:val="24"/>
          <w:szCs w:val="24"/>
          <w:lang w:eastAsia="en-US"/>
        </w:rPr>
        <w:t xml:space="preserve">Администрация Сосновского сельского поселения </w:t>
      </w:r>
      <w:r w:rsidR="0047686C" w:rsidRPr="006F44BF">
        <w:rPr>
          <w:rFonts w:ascii="Arial" w:hAnsi="Arial" w:cs="Arial"/>
          <w:b/>
          <w:color w:val="1D1B11" w:themeColor="background2" w:themeShade="1A"/>
          <w:sz w:val="24"/>
          <w:szCs w:val="24"/>
        </w:rPr>
        <w:t>ПОСТАНОВЛЯЕТ</w:t>
      </w:r>
      <w:r w:rsidRPr="006F44BF">
        <w:rPr>
          <w:rFonts w:ascii="Arial" w:hAnsi="Arial" w:cs="Arial"/>
          <w:b/>
          <w:color w:val="1D1B11" w:themeColor="background2" w:themeShade="1A"/>
          <w:sz w:val="24"/>
          <w:szCs w:val="24"/>
        </w:rPr>
        <w:t>:</w:t>
      </w:r>
    </w:p>
    <w:p w:rsidR="00B35520" w:rsidRPr="006F44BF" w:rsidRDefault="00B35520" w:rsidP="00B355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B35520" w:rsidRPr="006F44BF" w:rsidRDefault="00B35520" w:rsidP="00B35520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6F44BF">
        <w:rPr>
          <w:rFonts w:ascii="Arial" w:hAnsi="Arial" w:cs="Arial"/>
          <w:color w:val="1D1B11" w:themeColor="background2" w:themeShade="1A"/>
          <w:sz w:val="24"/>
          <w:szCs w:val="24"/>
        </w:rPr>
        <w:t>Внести в постановление администрации Сосновского сельского поселения от 20.04.2017 № 27 «Об утверждении административного регламента предоставления муниципальной услуги  «Выдача разрешений на ввод в эксплуатацию объектов капитального строительства, расположенных на территории муниципального образования «Сосновское сельское поселение» следующие изменения:</w:t>
      </w:r>
    </w:p>
    <w:p w:rsidR="00B35520" w:rsidRPr="006F44BF" w:rsidRDefault="00B35520" w:rsidP="00B35520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F44BF">
        <w:rPr>
          <w:rFonts w:ascii="Arial" w:hAnsi="Arial" w:cs="Arial"/>
          <w:bCs/>
          <w:sz w:val="24"/>
          <w:szCs w:val="24"/>
        </w:rPr>
        <w:t xml:space="preserve"> В административном регламенте </w:t>
      </w:r>
      <w:r w:rsidRPr="006F44BF">
        <w:rPr>
          <w:rFonts w:ascii="Arial" w:hAnsi="Arial" w:cs="Arial"/>
          <w:sz w:val="24"/>
          <w:szCs w:val="24"/>
        </w:rPr>
        <w:t>«</w:t>
      </w:r>
      <w:r w:rsidRPr="006F44BF">
        <w:rPr>
          <w:rFonts w:ascii="Arial" w:hAnsi="Arial" w:cs="Arial"/>
          <w:color w:val="1D1B11" w:themeColor="background2" w:themeShade="1A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«Сосновское сельское поселение»</w:t>
      </w:r>
      <w:r w:rsidRPr="006F44BF">
        <w:rPr>
          <w:rFonts w:ascii="Arial" w:hAnsi="Arial" w:cs="Arial"/>
          <w:bCs/>
          <w:sz w:val="24"/>
          <w:szCs w:val="24"/>
        </w:rPr>
        <w:t>, утвержденном названным постановлением: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1) пункт 1.1 изложить в следующей редакции: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 xml:space="preserve">«1.1. </w:t>
      </w:r>
      <w:proofErr w:type="gramStart"/>
      <w:r w:rsidRPr="006F44BF">
        <w:rPr>
          <w:rFonts w:ascii="Arial" w:hAnsi="Arial" w:cs="Arial"/>
          <w:sz w:val="24"/>
          <w:szCs w:val="24"/>
        </w:rPr>
        <w:t>Настоящий административный регламент разработан в целях повышения качества предоставления муниципальной услуги по выдаче разрешений на ввод в эксплуатацию объектов капитального строительства, расположенных на территории муниц</w:t>
      </w:r>
      <w:r w:rsidR="003C0EC9" w:rsidRPr="006F44BF">
        <w:rPr>
          <w:rFonts w:ascii="Arial" w:hAnsi="Arial" w:cs="Arial"/>
          <w:sz w:val="24"/>
          <w:szCs w:val="24"/>
        </w:rPr>
        <w:t xml:space="preserve">ипального образования </w:t>
      </w:r>
      <w:r w:rsidRPr="006F44BF">
        <w:rPr>
          <w:rFonts w:ascii="Arial" w:hAnsi="Arial" w:cs="Arial"/>
          <w:sz w:val="24"/>
          <w:szCs w:val="24"/>
        </w:rPr>
        <w:t xml:space="preserve"> </w:t>
      </w:r>
      <w:r w:rsidR="003C0EC9" w:rsidRPr="006F44BF">
        <w:rPr>
          <w:rFonts w:ascii="Arial" w:hAnsi="Arial" w:cs="Arial"/>
          <w:sz w:val="24"/>
          <w:szCs w:val="24"/>
        </w:rPr>
        <w:t>«Сосновское сельское поселение»</w:t>
      </w:r>
      <w:r w:rsidRPr="006F44BF">
        <w:rPr>
          <w:rFonts w:ascii="Arial" w:hAnsi="Arial" w:cs="Arial"/>
          <w:sz w:val="24"/>
          <w:szCs w:val="24"/>
        </w:rPr>
        <w:t xml:space="preserve"> (далее – муниципальная услуга), создания комфортных условий для участников отношений, возникающих при предоставлении муниципальной услуги и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  <w:proofErr w:type="gramEnd"/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Настоящий административный регламент не распространяется на объекты, в отношении которых разрешение на ввод в эксплуатацию не требуется в соответствии с частью 15 статьи 55 Градостроительного кодекса Российской Федерации</w:t>
      </w:r>
      <w:proofErr w:type="gramStart"/>
      <w:r w:rsidRPr="006F44BF">
        <w:rPr>
          <w:rFonts w:ascii="Arial" w:hAnsi="Arial" w:cs="Arial"/>
          <w:sz w:val="24"/>
          <w:szCs w:val="24"/>
        </w:rPr>
        <w:t>.»;</w:t>
      </w:r>
      <w:proofErr w:type="gramEnd"/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2) в пункте 2.7: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lastRenderedPageBreak/>
        <w:t>абзац первый изложить в следующей редакции: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«2.7. Для предоставления муниципальной услуги заявителем предоставляются заявление о выдаче разрешения на ввод объекта в эксплуатацию (приложение № 1) и документы, перечисленные в пункте 2.7.1 настоящего административного регламента</w:t>
      </w:r>
      <w:proofErr w:type="gramStart"/>
      <w:r w:rsidRPr="006F44BF">
        <w:rPr>
          <w:rFonts w:ascii="Arial" w:hAnsi="Arial" w:cs="Arial"/>
          <w:sz w:val="24"/>
          <w:szCs w:val="24"/>
        </w:rPr>
        <w:t>.»;</w:t>
      </w:r>
      <w:proofErr w:type="gramEnd"/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абзацы второй, десятый – тридцать шестой признать утратившими силу;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3) дополнить пунктами 2.7.1 и 2.7.2 следующего содержания: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«2.7.1. Для принятия решения о выдаче разрешения на ввод объекта в эксплуатацию необходимы следующие документы: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F44BF">
        <w:rPr>
          <w:rFonts w:ascii="Arial" w:hAnsi="Arial" w:cs="Arial"/>
          <w:sz w:val="24"/>
          <w:szCs w:val="24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6F44BF">
        <w:rPr>
          <w:rFonts w:ascii="Arial" w:hAnsi="Arial" w:cs="Arial"/>
          <w:sz w:val="24"/>
          <w:szCs w:val="24"/>
        </w:rPr>
        <w:t xml:space="preserve"> образование земельного участка;</w:t>
      </w:r>
    </w:p>
    <w:p w:rsidR="00424609" w:rsidRPr="006F44BF" w:rsidRDefault="00424609" w:rsidP="0010143C">
      <w:pPr>
        <w:widowControl w:val="0"/>
        <w:tabs>
          <w:tab w:val="left" w:pos="6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3) разрешение на строительство;</w:t>
      </w:r>
      <w:r w:rsidR="0010143C">
        <w:rPr>
          <w:rFonts w:ascii="Arial" w:hAnsi="Arial" w:cs="Arial"/>
          <w:sz w:val="24"/>
          <w:szCs w:val="24"/>
        </w:rPr>
        <w:tab/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F44BF">
        <w:rPr>
          <w:rFonts w:ascii="Arial" w:hAnsi="Arial" w:cs="Arial"/>
          <w:sz w:val="24"/>
          <w:szCs w:val="24"/>
        </w:rPr>
        <w:t>6)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6F44BF">
        <w:rPr>
          <w:rFonts w:ascii="Arial" w:hAnsi="Arial" w:cs="Arial"/>
          <w:sz w:val="24"/>
          <w:szCs w:val="24"/>
        </w:rPr>
        <w:t xml:space="preserve"> осуществления строительного контроля на основании договора);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F44BF">
        <w:rPr>
          <w:rFonts w:ascii="Arial" w:hAnsi="Arial" w:cs="Arial"/>
          <w:sz w:val="24"/>
          <w:szCs w:val="24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F44BF">
        <w:rPr>
          <w:rFonts w:ascii="Arial" w:hAnsi="Arial" w:cs="Arial"/>
          <w:sz w:val="24"/>
          <w:szCs w:val="24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</w:t>
      </w:r>
      <w:r w:rsidRPr="006F44BF">
        <w:rPr>
          <w:rFonts w:ascii="Arial" w:hAnsi="Arial" w:cs="Arial"/>
          <w:sz w:val="24"/>
          <w:szCs w:val="24"/>
        </w:rPr>
        <w:lastRenderedPageBreak/>
        <w:t>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</w:t>
      </w:r>
      <w:proofErr w:type="gramEnd"/>
      <w:r w:rsidRPr="006F44BF">
        <w:rPr>
          <w:rFonts w:ascii="Arial" w:hAnsi="Arial" w:cs="Arial"/>
          <w:sz w:val="24"/>
          <w:szCs w:val="24"/>
        </w:rPr>
        <w:t xml:space="preserve"> федерального органа исполнительной власти (далее - орган федерального государственного экологического надзора), </w:t>
      </w:r>
      <w:proofErr w:type="gramStart"/>
      <w:r w:rsidRPr="006F44BF">
        <w:rPr>
          <w:rFonts w:ascii="Arial" w:hAnsi="Arial" w:cs="Arial"/>
          <w:sz w:val="24"/>
          <w:szCs w:val="24"/>
        </w:rPr>
        <w:t>выдаваемое</w:t>
      </w:r>
      <w:proofErr w:type="gramEnd"/>
      <w:r w:rsidRPr="006F44BF">
        <w:rPr>
          <w:rFonts w:ascii="Arial" w:hAnsi="Arial" w:cs="Arial"/>
          <w:sz w:val="24"/>
          <w:szCs w:val="24"/>
        </w:rPr>
        <w:t xml:space="preserve"> в случаях, предусмотренных частью 7 статьи 54 Градостроительного кодекса Российской Федерации;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 xml:space="preserve">10) документ, подтверждающий заключение </w:t>
      </w:r>
      <w:proofErr w:type="gramStart"/>
      <w:r w:rsidRPr="006F44BF">
        <w:rPr>
          <w:rFonts w:ascii="Arial" w:hAnsi="Arial" w:cs="Arial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6F44BF">
        <w:rPr>
          <w:rFonts w:ascii="Arial" w:hAnsi="Arial" w:cs="Arial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12) технический план объекта капитального строительства, подготовленный в соответствии с Федеральным законом «О государственной регистрации недвижимости».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2.7.2. Документы, указанные в пункте 2.7.1 настоящего административного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 xml:space="preserve">Если застройщик не представил самостоятельно документы (их копии или сведения, содержащиеся в них), указанные в подпунктах 1, 2, 3 и 9 пункта 2.7.1 настоящего административного регламента, </w:t>
      </w:r>
      <w:r w:rsidRPr="006F44BF">
        <w:rPr>
          <w:rFonts w:ascii="Arial" w:hAnsi="Arial" w:cs="Arial"/>
          <w:bCs/>
          <w:sz w:val="24"/>
          <w:szCs w:val="24"/>
        </w:rPr>
        <w:t>специалист, ответственный за предоставление муниципальной услуги, запрашивает данные документы в рамках межведомственного взаимодействия в органах и организациях, в распоряжении которых находятся указанные документы</w:t>
      </w:r>
      <w:r w:rsidRPr="006F44BF">
        <w:rPr>
          <w:rFonts w:ascii="Arial" w:hAnsi="Arial" w:cs="Arial"/>
          <w:sz w:val="24"/>
          <w:szCs w:val="24"/>
        </w:rPr>
        <w:t>.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 xml:space="preserve">Документы, указанные в подпунктах 1, 4, 6, 7 и 8 части 3 пункта 2.7.1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 w:rsidRPr="006F44BF">
        <w:rPr>
          <w:rFonts w:ascii="Arial" w:hAnsi="Arial" w:cs="Arial"/>
          <w:bCs/>
          <w:sz w:val="24"/>
          <w:szCs w:val="24"/>
        </w:rPr>
        <w:t>специалистом, ответственным за предоставление муниципальной услуги, в рамках межведомственного взаимодействия в органах и организациях, в распоряжении которых находятся указанные документы</w:t>
      </w:r>
      <w:proofErr w:type="gramStart"/>
      <w:r w:rsidRPr="006F44BF">
        <w:rPr>
          <w:rFonts w:ascii="Arial" w:hAnsi="Arial" w:cs="Arial"/>
          <w:sz w:val="24"/>
          <w:szCs w:val="24"/>
        </w:rPr>
        <w:t>.»;</w:t>
      </w:r>
      <w:proofErr w:type="gramEnd"/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4) подпункты 2, 4 и 5 пункта 2.13 изложить в следующей редакции: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F44BF">
        <w:rPr>
          <w:rFonts w:ascii="Arial" w:hAnsi="Arial" w:cs="Arial"/>
          <w:bCs/>
          <w:sz w:val="24"/>
          <w:szCs w:val="24"/>
        </w:rPr>
        <w:t xml:space="preserve">«2)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</w:t>
      </w:r>
      <w:r w:rsidRPr="006F44BF">
        <w:rPr>
          <w:rFonts w:ascii="Arial" w:hAnsi="Arial" w:cs="Arial"/>
          <w:bCs/>
          <w:sz w:val="24"/>
          <w:szCs w:val="24"/>
        </w:rPr>
        <w:lastRenderedPageBreak/>
        <w:t>объекта не требуется подготовка документации по планировке территории</w:t>
      </w:r>
      <w:proofErr w:type="gramEnd"/>
      <w:r w:rsidRPr="006F44BF">
        <w:rPr>
          <w:rFonts w:ascii="Arial" w:hAnsi="Arial" w:cs="Arial"/>
          <w:bCs/>
          <w:sz w:val="24"/>
          <w:szCs w:val="24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proofErr w:type="gramStart"/>
      <w:r w:rsidRPr="006F44BF">
        <w:rPr>
          <w:rFonts w:ascii="Arial" w:hAnsi="Arial" w:cs="Arial"/>
          <w:bCs/>
          <w:sz w:val="24"/>
          <w:szCs w:val="24"/>
        </w:rPr>
        <w:t>;»</w:t>
      </w:r>
      <w:proofErr w:type="gramEnd"/>
      <w:r w:rsidRPr="006F44BF">
        <w:rPr>
          <w:rFonts w:ascii="Arial" w:hAnsi="Arial" w:cs="Arial"/>
          <w:bCs/>
          <w:sz w:val="24"/>
          <w:szCs w:val="24"/>
        </w:rPr>
        <w:t>;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F44BF">
        <w:rPr>
          <w:rFonts w:ascii="Arial" w:hAnsi="Arial" w:cs="Arial"/>
          <w:bCs/>
          <w:sz w:val="24"/>
          <w:szCs w:val="24"/>
        </w:rPr>
        <w:t>«4)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F44BF">
        <w:rPr>
          <w:rFonts w:ascii="Arial" w:hAnsi="Arial" w:cs="Arial"/>
          <w:bCs/>
          <w:sz w:val="24"/>
          <w:szCs w:val="24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6F44BF">
        <w:rPr>
          <w:rFonts w:ascii="Arial" w:hAnsi="Arial" w:cs="Arial"/>
          <w:bCs/>
          <w:sz w:val="24"/>
          <w:szCs w:val="24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proofErr w:type="gramStart"/>
      <w:r w:rsidRPr="006F44BF"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F44BF">
        <w:rPr>
          <w:rFonts w:ascii="Arial" w:hAnsi="Arial" w:cs="Arial"/>
          <w:bCs/>
          <w:sz w:val="24"/>
          <w:szCs w:val="24"/>
        </w:rPr>
        <w:t>5) в пункте 3.3.1 слова «пункте 2.7» заменить словами «пункте 2.7.1»;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F44BF">
        <w:rPr>
          <w:rFonts w:ascii="Arial" w:hAnsi="Arial" w:cs="Arial"/>
          <w:bCs/>
          <w:sz w:val="24"/>
          <w:szCs w:val="24"/>
        </w:rPr>
        <w:t>6) в пункте 3.3.2 слова «пунктом 2.7.» заменить словами «пунктом 2.7.2»;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F44BF">
        <w:rPr>
          <w:rFonts w:ascii="Arial" w:hAnsi="Arial" w:cs="Arial"/>
          <w:bCs/>
          <w:sz w:val="24"/>
          <w:szCs w:val="24"/>
        </w:rPr>
        <w:t>7) в пункте 3.3.3 слова «пункте 2.7.» заменить словами «пункте 2.7.1»;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F44BF">
        <w:rPr>
          <w:rFonts w:ascii="Arial" w:hAnsi="Arial" w:cs="Arial"/>
          <w:bCs/>
          <w:sz w:val="24"/>
          <w:szCs w:val="24"/>
        </w:rPr>
        <w:t>8) в пункте 3.4.1 слова «подпункте 3 пункта 2.7.» заменить словами «пункте 2.7.2»;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F44BF">
        <w:rPr>
          <w:rFonts w:ascii="Arial" w:hAnsi="Arial" w:cs="Arial"/>
          <w:bCs/>
          <w:sz w:val="24"/>
          <w:szCs w:val="24"/>
        </w:rPr>
        <w:t>9) пункт 3.4.2 изложить в следующей редакции: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F44BF">
        <w:rPr>
          <w:rFonts w:ascii="Arial" w:hAnsi="Arial" w:cs="Arial"/>
          <w:bCs/>
          <w:sz w:val="24"/>
          <w:szCs w:val="24"/>
        </w:rPr>
        <w:t>«3.4.2. Для получения указанных документов (информации) специалист, ответственный за предоставление муниципальной услуги, направляет межведомственные запросы в соответствующие органы и организации</w:t>
      </w:r>
      <w:proofErr w:type="gramStart"/>
      <w:r w:rsidRPr="006F44BF"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10) раздел 5 изложить в следующей редакции: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«5. ДОСУДЕБНЫЙ (ВНЕСУДЕБНЫЙ) ПОРЯДОК ОБЖАЛОВАНИЯ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РЕШЕНИЙ И ДЕЙСТВИЙ (БЕЗДЕЙСТВИЯ), СВЯЗАННЫХ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С ПРЕДОСТАВЛЕНИЕМ МУНИЦИПАЛЬНОЙ УСЛУГИ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6F44BF">
        <w:rPr>
          <w:rFonts w:ascii="Arial" w:hAnsi="Arial" w:cs="Arial"/>
          <w:sz w:val="24"/>
          <w:szCs w:val="24"/>
        </w:rPr>
        <w:t>Заявитель вправе обратиться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предусмотренных частью 1</w:t>
      </w:r>
      <w:r w:rsidRPr="006F44BF">
        <w:rPr>
          <w:rFonts w:ascii="Arial" w:hAnsi="Arial" w:cs="Arial"/>
          <w:sz w:val="24"/>
          <w:szCs w:val="24"/>
          <w:vertAlign w:val="superscript"/>
        </w:rPr>
        <w:t>1</w:t>
      </w:r>
      <w:r w:rsidRPr="006F44BF">
        <w:rPr>
          <w:rFonts w:ascii="Arial" w:hAnsi="Arial" w:cs="Arial"/>
          <w:sz w:val="24"/>
          <w:szCs w:val="24"/>
        </w:rPr>
        <w:t xml:space="preserve"> статьи 16 Федерального закона «Об организации предоставления государственных и муниципальных услуг» (далее – иные организации), или их работников (далее – жалоба).</w:t>
      </w:r>
      <w:proofErr w:type="gramEnd"/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5.2. Жалоба подается в письменной форме на бумажном носителе, в электронной форме в Администрацию</w:t>
      </w:r>
      <w:r w:rsidR="00670BD6" w:rsidRPr="006F44BF">
        <w:rPr>
          <w:rFonts w:ascii="Arial" w:hAnsi="Arial" w:cs="Arial"/>
          <w:sz w:val="24"/>
          <w:szCs w:val="24"/>
        </w:rPr>
        <w:t xml:space="preserve"> Сосновского</w:t>
      </w:r>
      <w:r w:rsidRPr="006F44BF">
        <w:rPr>
          <w:rFonts w:ascii="Arial" w:hAnsi="Arial" w:cs="Arial"/>
          <w:sz w:val="24"/>
          <w:szCs w:val="24"/>
        </w:rPr>
        <w:t xml:space="preserve"> сельского поселения, МФЦ либо учредителю МФЦ, а также в иные организации.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Жалобы на решения и действия (бездействие) Главы</w:t>
      </w:r>
      <w:r w:rsidR="0087731D" w:rsidRPr="006F44BF">
        <w:rPr>
          <w:rFonts w:ascii="Arial" w:hAnsi="Arial" w:cs="Arial"/>
          <w:sz w:val="24"/>
          <w:szCs w:val="24"/>
        </w:rPr>
        <w:t xml:space="preserve"> Сосновского</w:t>
      </w:r>
      <w:r w:rsidRPr="006F44BF">
        <w:rPr>
          <w:rFonts w:ascii="Arial" w:hAnsi="Arial" w:cs="Arial"/>
          <w:sz w:val="24"/>
          <w:szCs w:val="24"/>
        </w:rPr>
        <w:t xml:space="preserve"> сельского поселения рассматриваются непосредственно Главой</w:t>
      </w:r>
      <w:r w:rsidR="0087731D" w:rsidRPr="006F44BF">
        <w:rPr>
          <w:rFonts w:ascii="Arial" w:hAnsi="Arial" w:cs="Arial"/>
          <w:sz w:val="24"/>
          <w:szCs w:val="24"/>
        </w:rPr>
        <w:t xml:space="preserve"> Сосновского</w:t>
      </w:r>
      <w:r w:rsidRPr="006F44B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Томской области.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Жалобы на решения и действия (бездействие) работников иных организаций подаются руководителям этих организаций.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 xml:space="preserve">5.3. Жалоба может быть направлена по почте, через МФЦ, с использованием сети «Интернет», соответствующего официального сайта, Единого портала государственных и муниципальных услуг, а также может быть </w:t>
      </w:r>
      <w:r w:rsidRPr="006F44BF">
        <w:rPr>
          <w:rFonts w:ascii="Arial" w:hAnsi="Arial" w:cs="Arial"/>
          <w:sz w:val="24"/>
          <w:szCs w:val="24"/>
        </w:rPr>
        <w:lastRenderedPageBreak/>
        <w:t>принята при личном приеме заявителя.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5.4. Жалоба должна содержать: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F44BF">
        <w:rPr>
          <w:rFonts w:ascii="Arial" w:hAnsi="Arial" w:cs="Arial"/>
          <w:sz w:val="24"/>
          <w:szCs w:val="24"/>
        </w:rPr>
        <w:t>1) наименование Администрации</w:t>
      </w:r>
      <w:r w:rsidR="0087731D" w:rsidRPr="006F44BF">
        <w:rPr>
          <w:rFonts w:ascii="Arial" w:hAnsi="Arial" w:cs="Arial"/>
          <w:sz w:val="24"/>
          <w:szCs w:val="24"/>
        </w:rPr>
        <w:t xml:space="preserve"> Сосновского</w:t>
      </w:r>
      <w:r w:rsidRPr="006F44BF">
        <w:rPr>
          <w:rFonts w:ascii="Arial" w:hAnsi="Arial" w:cs="Arial"/>
          <w:sz w:val="24"/>
          <w:szCs w:val="24"/>
        </w:rPr>
        <w:t xml:space="preserve"> сельского поселения, ее должностного лица, либо муниципального служащего, МФЦ, его руководителя и (или) работника, иной организации, их руководителей и (или) работников, решения и действия (бездействие) которых обжалуются;</w:t>
      </w:r>
      <w:proofErr w:type="gramEnd"/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F44BF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Администрации</w:t>
      </w:r>
      <w:r w:rsidR="0087731D" w:rsidRPr="006F44BF">
        <w:rPr>
          <w:rFonts w:ascii="Arial" w:hAnsi="Arial" w:cs="Arial"/>
          <w:sz w:val="24"/>
          <w:szCs w:val="24"/>
        </w:rPr>
        <w:t xml:space="preserve"> Сосновского</w:t>
      </w:r>
      <w:r w:rsidRPr="006F44BF">
        <w:rPr>
          <w:rFonts w:ascii="Arial" w:hAnsi="Arial" w:cs="Arial"/>
          <w:sz w:val="24"/>
          <w:szCs w:val="24"/>
        </w:rPr>
        <w:t xml:space="preserve"> сельского поселения, ее должностного лица, либо муниципального служащего, МФЦ, работника МФЦ, иных организаций, их работников;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Админ</w:t>
      </w:r>
      <w:r w:rsidR="0087731D" w:rsidRPr="006F44BF">
        <w:rPr>
          <w:rFonts w:ascii="Arial" w:hAnsi="Arial" w:cs="Arial"/>
          <w:sz w:val="24"/>
          <w:szCs w:val="24"/>
        </w:rPr>
        <w:t>истрации Сосновского</w:t>
      </w:r>
      <w:r w:rsidRPr="006F44BF">
        <w:rPr>
          <w:rFonts w:ascii="Arial" w:hAnsi="Arial" w:cs="Arial"/>
          <w:sz w:val="24"/>
          <w:szCs w:val="24"/>
        </w:rPr>
        <w:t xml:space="preserve"> сельского поселения, ее должностного лица, либо муниципального служащего, МФЦ, работника МФЦ, иных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5.5. По результатам рассмотрения жалобы принимается одно из следующих решений: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F44BF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424609" w:rsidRPr="006F44BF" w:rsidRDefault="00424609" w:rsidP="0042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5.6. Не позднее дня, следующего за днем принятия решения, указанного в пункте 5.5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6F44BF">
        <w:rPr>
          <w:rFonts w:ascii="Arial" w:hAnsi="Arial" w:cs="Arial"/>
          <w:sz w:val="24"/>
          <w:szCs w:val="24"/>
        </w:rPr>
        <w:t>.».</w:t>
      </w:r>
      <w:proofErr w:type="gramEnd"/>
    </w:p>
    <w:p w:rsidR="00B35520" w:rsidRPr="006F44BF" w:rsidRDefault="00424609" w:rsidP="00424609">
      <w:pPr>
        <w:tabs>
          <w:tab w:val="left" w:pos="709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6F44BF">
        <w:rPr>
          <w:rFonts w:ascii="Arial" w:hAnsi="Arial" w:cs="Arial"/>
          <w:sz w:val="24"/>
          <w:szCs w:val="24"/>
        </w:rPr>
        <w:t>2. Настоящее постановление вступает в силу со дня его обнародования</w:t>
      </w:r>
      <w:r w:rsidR="00DB4EE8" w:rsidRPr="006F44BF">
        <w:rPr>
          <w:rFonts w:ascii="Arial" w:hAnsi="Arial" w:cs="Arial"/>
          <w:sz w:val="24"/>
          <w:szCs w:val="24"/>
        </w:rPr>
        <w:t>.</w:t>
      </w:r>
    </w:p>
    <w:p w:rsidR="00B35520" w:rsidRPr="006F44BF" w:rsidRDefault="00B35520" w:rsidP="00B35520">
      <w:pPr>
        <w:tabs>
          <w:tab w:val="left" w:pos="709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B35520" w:rsidRPr="006F44BF" w:rsidRDefault="00DB4EE8" w:rsidP="00B35520">
      <w:pPr>
        <w:tabs>
          <w:tab w:val="left" w:pos="709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F44BF">
        <w:rPr>
          <w:rFonts w:ascii="Arial" w:hAnsi="Arial" w:cs="Arial"/>
          <w:bCs/>
          <w:sz w:val="24"/>
          <w:szCs w:val="24"/>
        </w:rPr>
        <w:t>Глава</w:t>
      </w:r>
      <w:r w:rsidR="00B35520" w:rsidRPr="006F44BF">
        <w:rPr>
          <w:rFonts w:ascii="Arial" w:hAnsi="Arial" w:cs="Arial"/>
          <w:bCs/>
          <w:sz w:val="24"/>
          <w:szCs w:val="24"/>
        </w:rPr>
        <w:t xml:space="preserve"> Сосновского сельского поселения                                   </w:t>
      </w:r>
      <w:r w:rsidRPr="006F44BF">
        <w:rPr>
          <w:rFonts w:ascii="Arial" w:hAnsi="Arial" w:cs="Arial"/>
          <w:bCs/>
          <w:sz w:val="24"/>
          <w:szCs w:val="24"/>
        </w:rPr>
        <w:t>А.М.Деев</w:t>
      </w:r>
    </w:p>
    <w:p w:rsidR="00B35520" w:rsidRPr="006F44BF" w:rsidRDefault="00B35520" w:rsidP="00B35520">
      <w:pPr>
        <w:pStyle w:val="a4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5520" w:rsidRPr="006F44BF" w:rsidRDefault="00B35520" w:rsidP="00B35520">
      <w:pPr>
        <w:autoSpaceDE w:val="0"/>
        <w:autoSpaceDN w:val="0"/>
        <w:adjustRightInd w:val="0"/>
        <w:spacing w:after="0"/>
        <w:ind w:left="360"/>
        <w:jc w:val="both"/>
        <w:outlineLvl w:val="1"/>
        <w:rPr>
          <w:rFonts w:ascii="Arial" w:hAnsi="Arial" w:cs="Arial"/>
          <w:sz w:val="24"/>
          <w:szCs w:val="24"/>
        </w:rPr>
      </w:pPr>
    </w:p>
    <w:p w:rsidR="00241080" w:rsidRPr="006F44BF" w:rsidRDefault="00241080">
      <w:pPr>
        <w:rPr>
          <w:rFonts w:ascii="Arial" w:hAnsi="Arial" w:cs="Arial"/>
          <w:sz w:val="24"/>
          <w:szCs w:val="24"/>
        </w:rPr>
      </w:pPr>
    </w:p>
    <w:sectPr w:rsidR="00241080" w:rsidRPr="006F44BF" w:rsidSect="0024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73D81"/>
    <w:multiLevelType w:val="hybridMultilevel"/>
    <w:tmpl w:val="37C85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C063D"/>
    <w:multiLevelType w:val="hybridMultilevel"/>
    <w:tmpl w:val="AC48B270"/>
    <w:lvl w:ilvl="0" w:tplc="6A3E586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520"/>
    <w:rsid w:val="0010143C"/>
    <w:rsid w:val="00241080"/>
    <w:rsid w:val="003C0EC9"/>
    <w:rsid w:val="00424609"/>
    <w:rsid w:val="0047686C"/>
    <w:rsid w:val="00661FA9"/>
    <w:rsid w:val="00670BD6"/>
    <w:rsid w:val="006E4D73"/>
    <w:rsid w:val="006F44BF"/>
    <w:rsid w:val="0087731D"/>
    <w:rsid w:val="00942AE0"/>
    <w:rsid w:val="009529D8"/>
    <w:rsid w:val="00B35520"/>
    <w:rsid w:val="00DB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20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qFormat/>
    <w:rsid w:val="00B355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3552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B355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B355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35520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B35520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B355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2018-12-18T07:50:00Z</dcterms:created>
  <dcterms:modified xsi:type="dcterms:W3CDTF">2019-01-09T05:26:00Z</dcterms:modified>
</cp:coreProperties>
</file>